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04" w:rsidRDefault="00163B04" w:rsidP="00163B04">
      <w:pPr>
        <w:spacing w:after="0" w:line="240" w:lineRule="auto"/>
        <w:rPr>
          <w:b/>
          <w:bCs/>
        </w:rPr>
      </w:pPr>
      <w:bookmarkStart w:id="0" w:name="_GoBack"/>
      <w:bookmarkEnd w:id="0"/>
    </w:p>
    <w:p w:rsidR="00F75499" w:rsidRDefault="00F75499" w:rsidP="00AC506B">
      <w:pPr>
        <w:spacing w:after="0" w:line="240" w:lineRule="auto"/>
        <w:jc w:val="center"/>
        <w:rPr>
          <w:b/>
          <w:bCs/>
        </w:rPr>
        <w:sectPr w:rsidR="00F7549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3B04" w:rsidRPr="009621C4" w:rsidRDefault="00163B04" w:rsidP="00AC506B">
      <w:pPr>
        <w:spacing w:after="0" w:line="240" w:lineRule="auto"/>
        <w:jc w:val="center"/>
        <w:rPr>
          <w:bCs/>
        </w:rPr>
      </w:pPr>
      <w:r w:rsidRPr="009621C4">
        <w:rPr>
          <w:bCs/>
        </w:rPr>
        <w:t xml:space="preserve">James DiCaprio, Associate Director, </w:t>
      </w:r>
      <w:proofErr w:type="gramStart"/>
      <w:r w:rsidRPr="009621C4">
        <w:rPr>
          <w:bCs/>
        </w:rPr>
        <w:t>Academic and Employment</w:t>
      </w:r>
      <w:proofErr w:type="gramEnd"/>
      <w:r w:rsidRPr="009621C4">
        <w:rPr>
          <w:bCs/>
        </w:rPr>
        <w:t xml:space="preserve"> and Labor Relations, jjdicaprio@ucdavis.edu, 530-752-4224</w:t>
      </w:r>
    </w:p>
    <w:p w:rsidR="00163B04" w:rsidRPr="009621C4" w:rsidRDefault="00163B04" w:rsidP="00AC506B">
      <w:pPr>
        <w:spacing w:after="0" w:line="240" w:lineRule="auto"/>
        <w:jc w:val="center"/>
        <w:rPr>
          <w:bCs/>
        </w:rPr>
      </w:pPr>
      <w:r w:rsidRPr="009621C4">
        <w:rPr>
          <w:bCs/>
        </w:rPr>
        <w:t>Kelly Anders, Director, Academic Personnel, kanders@ucdavis.edu, 530-754-8268</w:t>
      </w:r>
    </w:p>
    <w:p w:rsidR="00163B04" w:rsidRPr="009621C4" w:rsidRDefault="00163B04" w:rsidP="00AC506B">
      <w:pPr>
        <w:spacing w:after="0" w:line="240" w:lineRule="auto"/>
        <w:jc w:val="center"/>
      </w:pPr>
    </w:p>
    <w:p w:rsidR="00F75499" w:rsidRDefault="00F75499" w:rsidP="00163B04">
      <w:pPr>
        <w:spacing w:after="0" w:line="240" w:lineRule="auto"/>
        <w:sectPr w:rsidR="00F75499" w:rsidSect="00F754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3B04" w:rsidRDefault="00163B04" w:rsidP="00163B04">
      <w:pPr>
        <w:spacing w:after="0" w:line="240" w:lineRule="auto"/>
      </w:pPr>
    </w:p>
    <w:p w:rsidR="00163B04" w:rsidRPr="00F75499" w:rsidRDefault="00163B04" w:rsidP="009621C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</w:rPr>
      </w:pPr>
      <w:r w:rsidRPr="00F75499">
        <w:rPr>
          <w:b/>
        </w:rPr>
        <w:t xml:space="preserve">New Bargaining Unit: </w:t>
      </w:r>
    </w:p>
    <w:p w:rsidR="00163B04" w:rsidRDefault="00163B04" w:rsidP="009621C4">
      <w:pPr>
        <w:pStyle w:val="ListParagraph"/>
        <w:numPr>
          <w:ilvl w:val="1"/>
          <w:numId w:val="6"/>
        </w:numPr>
        <w:spacing w:after="0" w:line="240" w:lineRule="auto"/>
        <w:ind w:left="1080"/>
      </w:pPr>
      <w:r>
        <w:t xml:space="preserve">New RA Unit </w:t>
      </w:r>
      <w:r w:rsidR="00091C15">
        <w:t xml:space="preserve">is </w:t>
      </w:r>
      <w:r>
        <w:t>represented by the UAW</w:t>
      </w:r>
      <w:r w:rsidR="00091C15">
        <w:t xml:space="preserve"> (UAW also represents Postdocs and ASEs)</w:t>
      </w:r>
      <w:r>
        <w:t xml:space="preserve">. </w:t>
      </w:r>
    </w:p>
    <w:p w:rsidR="00163B04" w:rsidRDefault="00163B04" w:rsidP="009621C4">
      <w:pPr>
        <w:pStyle w:val="ListParagraph"/>
        <w:numPr>
          <w:ilvl w:val="1"/>
          <w:numId w:val="6"/>
        </w:numPr>
        <w:spacing w:after="0" w:line="240" w:lineRule="auto"/>
        <w:ind w:left="1080"/>
      </w:pPr>
      <w:r>
        <w:t>Specialists (</w:t>
      </w:r>
      <w:r w:rsidRPr="00F75499">
        <w:rPr>
          <w:u w:val="single"/>
        </w:rPr>
        <w:t>including Junior Specialists</w:t>
      </w:r>
      <w:r>
        <w:t xml:space="preserve">), Project Scientists, and Professional Researchers. </w:t>
      </w:r>
    </w:p>
    <w:p w:rsidR="00163B04" w:rsidRDefault="00163B04" w:rsidP="009621C4">
      <w:pPr>
        <w:spacing w:after="0" w:line="240" w:lineRule="auto"/>
      </w:pPr>
    </w:p>
    <w:p w:rsidR="00163B04" w:rsidRPr="00F75499" w:rsidRDefault="00163B04" w:rsidP="009621C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</w:rPr>
      </w:pPr>
      <w:r w:rsidRPr="00F75499">
        <w:rPr>
          <w:b/>
        </w:rPr>
        <w:t>Who is not in the Unit?</w:t>
      </w:r>
    </w:p>
    <w:p w:rsidR="00A579F9" w:rsidRPr="00163B04" w:rsidRDefault="004E6A16" w:rsidP="009621C4">
      <w:pPr>
        <w:pStyle w:val="ListParagraph"/>
        <w:numPr>
          <w:ilvl w:val="1"/>
          <w:numId w:val="6"/>
        </w:numPr>
        <w:tabs>
          <w:tab w:val="num" w:pos="360"/>
        </w:tabs>
        <w:spacing w:after="0" w:line="240" w:lineRule="auto"/>
        <w:ind w:left="1080"/>
      </w:pPr>
      <w:r w:rsidRPr="00163B04">
        <w:t>Supervisors (must meet HEERA definition of supervisor)</w:t>
      </w:r>
    </w:p>
    <w:p w:rsidR="00A579F9" w:rsidRPr="00163B04" w:rsidRDefault="004E6A16" w:rsidP="009621C4">
      <w:pPr>
        <w:pStyle w:val="ListParagraph"/>
        <w:numPr>
          <w:ilvl w:val="1"/>
          <w:numId w:val="6"/>
        </w:numPr>
        <w:tabs>
          <w:tab w:val="num" w:pos="360"/>
        </w:tabs>
        <w:spacing w:after="0" w:line="240" w:lineRule="auto"/>
        <w:ind w:left="1080"/>
      </w:pPr>
      <w:r w:rsidRPr="00163B04">
        <w:t>Without Salary appointments</w:t>
      </w:r>
    </w:p>
    <w:p w:rsidR="00A579F9" w:rsidRPr="00163B04" w:rsidRDefault="004E6A16" w:rsidP="009621C4">
      <w:pPr>
        <w:pStyle w:val="ListParagraph"/>
        <w:numPr>
          <w:ilvl w:val="1"/>
          <w:numId w:val="6"/>
        </w:numPr>
        <w:tabs>
          <w:tab w:val="num" w:pos="360"/>
        </w:tabs>
        <w:spacing w:after="0" w:line="240" w:lineRule="auto"/>
        <w:ind w:left="1080"/>
      </w:pPr>
      <w:r w:rsidRPr="00163B04">
        <w:t>Visiting appointments (must actually be visiting from another institution</w:t>
      </w:r>
      <w:r w:rsidR="00091C15">
        <w:t>, per APM 230</w:t>
      </w:r>
      <w:r w:rsidRPr="00163B04">
        <w:t>)</w:t>
      </w:r>
    </w:p>
    <w:p w:rsidR="00163B04" w:rsidRDefault="00163B04" w:rsidP="009621C4">
      <w:pPr>
        <w:spacing w:after="0" w:line="240" w:lineRule="auto"/>
      </w:pPr>
    </w:p>
    <w:p w:rsidR="00163B04" w:rsidRPr="00F75499" w:rsidRDefault="00163B04" w:rsidP="009621C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</w:rPr>
      </w:pPr>
      <w:r w:rsidRPr="00F75499">
        <w:rPr>
          <w:b/>
        </w:rPr>
        <w:t>Appointment Length</w:t>
      </w:r>
    </w:p>
    <w:p w:rsidR="00163B04" w:rsidRDefault="00163B04" w:rsidP="009621C4">
      <w:pPr>
        <w:pStyle w:val="ListParagraph"/>
        <w:numPr>
          <w:ilvl w:val="1"/>
          <w:numId w:val="6"/>
        </w:numPr>
        <w:spacing w:after="0" w:line="240" w:lineRule="auto"/>
        <w:ind w:left="1080"/>
      </w:pPr>
      <w:r>
        <w:t xml:space="preserve">New hire appointments shall be for a minimum of one year except in cases where there is </w:t>
      </w:r>
      <w:r w:rsidR="00091C15">
        <w:t xml:space="preserve">documented </w:t>
      </w:r>
      <w:r w:rsidRPr="00163B04">
        <w:t>lack of work, lack of appropriate funding, programmatic need</w:t>
      </w:r>
      <w:r>
        <w:t xml:space="preserve">. </w:t>
      </w:r>
    </w:p>
    <w:p w:rsidR="00163B04" w:rsidRDefault="00163B04" w:rsidP="009621C4">
      <w:pPr>
        <w:pStyle w:val="ListParagraph"/>
        <w:numPr>
          <w:ilvl w:val="1"/>
          <w:numId w:val="6"/>
        </w:numPr>
        <w:spacing w:after="0" w:line="240" w:lineRule="auto"/>
        <w:ind w:left="1080"/>
      </w:pPr>
      <w:r>
        <w:t xml:space="preserve">After first merit review, regardless of the outcome, any reappointments are for normative period of review for rank and step. No exceptions. If needed, see layoff provisions. </w:t>
      </w:r>
    </w:p>
    <w:p w:rsidR="00163B04" w:rsidRPr="004E6A16" w:rsidRDefault="00157131" w:rsidP="009621C4">
      <w:pPr>
        <w:pStyle w:val="ListParagraph"/>
        <w:numPr>
          <w:ilvl w:val="1"/>
          <w:numId w:val="6"/>
        </w:numPr>
        <w:spacing w:after="0" w:line="240" w:lineRule="auto"/>
        <w:ind w:left="1080"/>
      </w:pPr>
      <w:r w:rsidRPr="004E6A16">
        <w:t xml:space="preserve">Steps of indefinite duration </w:t>
      </w:r>
      <w:proofErr w:type="gramStart"/>
      <w:r w:rsidRPr="004E6A16">
        <w:t>must be reviewed at least every five years with a minimum of a 3-year appointment, and, if reappointed, followed by a 2-year appointment</w:t>
      </w:r>
      <w:proofErr w:type="gramEnd"/>
      <w:r w:rsidRPr="004E6A16">
        <w:t>.</w:t>
      </w:r>
      <w:r w:rsidR="00163B04" w:rsidRPr="004E6A16">
        <w:t xml:space="preserve"> </w:t>
      </w:r>
    </w:p>
    <w:p w:rsidR="00163B04" w:rsidRDefault="00163B04" w:rsidP="009621C4">
      <w:pPr>
        <w:spacing w:after="0" w:line="240" w:lineRule="auto"/>
      </w:pPr>
    </w:p>
    <w:p w:rsidR="00163B04" w:rsidRPr="00F75499" w:rsidRDefault="00157131" w:rsidP="009621C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</w:rPr>
      </w:pPr>
      <w:r w:rsidRPr="00F75499">
        <w:rPr>
          <w:b/>
        </w:rPr>
        <w:t>Merit and Promotion Review Process</w:t>
      </w:r>
    </w:p>
    <w:p w:rsidR="00163B04" w:rsidRDefault="00157131" w:rsidP="009621C4">
      <w:pPr>
        <w:pStyle w:val="ListParagraph"/>
        <w:numPr>
          <w:ilvl w:val="1"/>
          <w:numId w:val="6"/>
        </w:numPr>
        <w:spacing w:after="0" w:line="240" w:lineRule="auto"/>
        <w:ind w:left="1080"/>
      </w:pPr>
      <w:r>
        <w:t xml:space="preserve">We will continue to use Step Plus for Academic Researchers. </w:t>
      </w:r>
    </w:p>
    <w:p w:rsidR="00A579F9" w:rsidRPr="00157131" w:rsidRDefault="004E6A16" w:rsidP="009621C4">
      <w:pPr>
        <w:pStyle w:val="ListParagraph"/>
        <w:numPr>
          <w:ilvl w:val="1"/>
          <w:numId w:val="6"/>
        </w:numPr>
        <w:spacing w:after="0" w:line="240" w:lineRule="auto"/>
        <w:ind w:left="1080"/>
      </w:pPr>
      <w:r w:rsidRPr="00157131">
        <w:t xml:space="preserve">The contract requires written notification of eligibility at least 6 weeks before their materials are due. </w:t>
      </w:r>
      <w:r w:rsidR="00AC506B">
        <w:t>The</w:t>
      </w:r>
      <w:r w:rsidRPr="00157131">
        <w:t xml:space="preserve"> Notification of Advancement Eligibility for an A</w:t>
      </w:r>
      <w:r w:rsidR="00AC506B">
        <w:t>cademic Federation</w:t>
      </w:r>
      <w:r w:rsidRPr="00157131">
        <w:t xml:space="preserve"> Member form </w:t>
      </w:r>
      <w:proofErr w:type="gramStart"/>
      <w:r w:rsidRPr="00157131">
        <w:t>must be completed</w:t>
      </w:r>
      <w:proofErr w:type="gramEnd"/>
      <w:r w:rsidRPr="00157131">
        <w:t xml:space="preserve"> prior to the written notification.</w:t>
      </w:r>
    </w:p>
    <w:p w:rsidR="00163B04" w:rsidRDefault="00163B04" w:rsidP="009621C4">
      <w:pPr>
        <w:spacing w:after="0" w:line="240" w:lineRule="auto"/>
      </w:pPr>
    </w:p>
    <w:p w:rsidR="00157131" w:rsidRPr="00F75499" w:rsidRDefault="00157131" w:rsidP="009621C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</w:rPr>
      </w:pPr>
      <w:r w:rsidRPr="00F75499">
        <w:rPr>
          <w:b/>
        </w:rPr>
        <w:t>Appointment Percentage</w:t>
      </w:r>
    </w:p>
    <w:p w:rsidR="00157131" w:rsidRDefault="00157131" w:rsidP="009621C4">
      <w:pPr>
        <w:pStyle w:val="ListParagraph"/>
        <w:numPr>
          <w:ilvl w:val="1"/>
          <w:numId w:val="6"/>
        </w:numPr>
        <w:spacing w:after="0" w:line="240" w:lineRule="auto"/>
        <w:ind w:left="1080"/>
      </w:pPr>
      <w:r w:rsidRPr="00157131">
        <w:t>Workload must be commensurate with appointment percentage</w:t>
      </w:r>
      <w:r w:rsidR="006942A9">
        <w:t xml:space="preserve">. </w:t>
      </w:r>
    </w:p>
    <w:p w:rsidR="006942A9" w:rsidRDefault="006942A9" w:rsidP="009621C4">
      <w:pPr>
        <w:pStyle w:val="ListParagraph"/>
        <w:numPr>
          <w:ilvl w:val="1"/>
          <w:numId w:val="6"/>
        </w:numPr>
        <w:spacing w:after="0" w:line="240" w:lineRule="auto"/>
        <w:ind w:left="1080"/>
      </w:pPr>
      <w:r>
        <w:t xml:space="preserve">Academic Researchers </w:t>
      </w:r>
      <w:r w:rsidR="009621C4">
        <w:t>may</w:t>
      </w:r>
      <w:r>
        <w:t xml:space="preserve"> be exempt (monthly) or non-exempt (hourly)</w:t>
      </w:r>
      <w:r w:rsidR="009621C4">
        <w:t xml:space="preserve"> based on salary/percent of appointment</w:t>
      </w:r>
      <w:r>
        <w:t>. Non-exempt academic researchers report hours worked and are eligible for over-time.</w:t>
      </w:r>
    </w:p>
    <w:p w:rsidR="00F75499" w:rsidRDefault="004E6A16" w:rsidP="009621C4">
      <w:pPr>
        <w:pStyle w:val="ListParagraph"/>
        <w:numPr>
          <w:ilvl w:val="1"/>
          <w:numId w:val="6"/>
        </w:numPr>
        <w:spacing w:after="0" w:line="240" w:lineRule="auto"/>
        <w:ind w:left="1080"/>
      </w:pPr>
      <w:r w:rsidRPr="00157131">
        <w:t>BEST PRACTICE</w:t>
      </w:r>
      <w:r w:rsidR="00F75499">
        <w:t>S</w:t>
      </w:r>
      <w:r w:rsidRPr="00157131">
        <w:t xml:space="preserve">:  </w:t>
      </w:r>
    </w:p>
    <w:p w:rsidR="00A579F9" w:rsidRPr="00157131" w:rsidRDefault="004E6A16" w:rsidP="009621C4">
      <w:pPr>
        <w:pStyle w:val="ListParagraph"/>
        <w:numPr>
          <w:ilvl w:val="2"/>
          <w:numId w:val="6"/>
        </w:numPr>
        <w:spacing w:after="0" w:line="240" w:lineRule="auto"/>
        <w:ind w:left="1800"/>
      </w:pPr>
      <w:r w:rsidRPr="00157131">
        <w:t>Set work schedule to alig</w:t>
      </w:r>
      <w:r w:rsidR="00157131">
        <w:t>n with appointment percentage</w:t>
      </w:r>
      <w:r w:rsidR="009621C4">
        <w:t xml:space="preserve">, e.g., </w:t>
      </w:r>
      <w:r w:rsidRPr="00157131">
        <w:t>80% = Mon</w:t>
      </w:r>
      <w:r w:rsidR="009621C4">
        <w:t>-Thurs</w:t>
      </w:r>
    </w:p>
    <w:p w:rsidR="00157131" w:rsidRPr="00157131" w:rsidRDefault="004E6A16" w:rsidP="009621C4">
      <w:pPr>
        <w:pStyle w:val="ListParagraph"/>
        <w:numPr>
          <w:ilvl w:val="2"/>
          <w:numId w:val="6"/>
        </w:numPr>
        <w:spacing w:after="0" w:line="240" w:lineRule="auto"/>
        <w:ind w:left="1800"/>
      </w:pPr>
      <w:r w:rsidRPr="00157131">
        <w:t xml:space="preserve">Avoid odd appointment percentages, </w:t>
      </w:r>
      <w:r w:rsidR="00157131" w:rsidRPr="00157131">
        <w:t>e.g., 60%, not 63.2%</w:t>
      </w:r>
    </w:p>
    <w:p w:rsidR="00A579F9" w:rsidRPr="00157131" w:rsidRDefault="004E6A16" w:rsidP="009621C4">
      <w:pPr>
        <w:pStyle w:val="ListParagraph"/>
        <w:numPr>
          <w:ilvl w:val="2"/>
          <w:numId w:val="6"/>
        </w:numPr>
        <w:spacing w:after="0" w:line="240" w:lineRule="auto"/>
        <w:ind w:left="1800"/>
      </w:pPr>
      <w:r w:rsidRPr="00157131">
        <w:t>Avoid 49% appointments (just shy of eligible for benefits)</w:t>
      </w:r>
    </w:p>
    <w:p w:rsidR="00A579F9" w:rsidRDefault="00F75499" w:rsidP="009621C4">
      <w:pPr>
        <w:pStyle w:val="ListParagraph"/>
        <w:numPr>
          <w:ilvl w:val="2"/>
          <w:numId w:val="6"/>
        </w:numPr>
        <w:spacing w:after="0" w:line="240" w:lineRule="auto"/>
        <w:ind w:left="1800"/>
      </w:pPr>
      <w:r>
        <w:t>For</w:t>
      </w:r>
      <w:r w:rsidR="004E6A16" w:rsidRPr="00157131">
        <w:t xml:space="preserve"> any part-time appointee, PI should document how they assign workload in such a way that workload does not exceed appointment percentage.</w:t>
      </w:r>
    </w:p>
    <w:p w:rsidR="00F75499" w:rsidRPr="00157131" w:rsidRDefault="00091C15" w:rsidP="009621C4">
      <w:pPr>
        <w:pStyle w:val="ListParagraph"/>
        <w:numPr>
          <w:ilvl w:val="1"/>
          <w:numId w:val="6"/>
        </w:numPr>
        <w:spacing w:after="0" w:line="240" w:lineRule="auto"/>
        <w:ind w:left="1080"/>
      </w:pPr>
      <w:r>
        <w:t>Documented t</w:t>
      </w:r>
      <w:r w:rsidR="00F75499">
        <w:t xml:space="preserve">emporary augmentations </w:t>
      </w:r>
      <w:proofErr w:type="gramStart"/>
      <w:r w:rsidR="00F75499">
        <w:t>are permitted</w:t>
      </w:r>
      <w:proofErr w:type="gramEnd"/>
      <w:r w:rsidR="00F75499">
        <w:t>.</w:t>
      </w:r>
    </w:p>
    <w:p w:rsidR="00163B04" w:rsidRDefault="00163B04" w:rsidP="009621C4">
      <w:pPr>
        <w:spacing w:after="0" w:line="240" w:lineRule="auto"/>
      </w:pPr>
    </w:p>
    <w:p w:rsidR="006942A9" w:rsidRPr="00F75499" w:rsidRDefault="00AC506B" w:rsidP="009621C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</w:rPr>
      </w:pPr>
      <w:r w:rsidRPr="00F75499">
        <w:rPr>
          <w:b/>
        </w:rPr>
        <w:t>Layoff and Reduction in Time</w:t>
      </w:r>
    </w:p>
    <w:p w:rsidR="00A579F9" w:rsidRDefault="004E6A16" w:rsidP="009621C4">
      <w:pPr>
        <w:pStyle w:val="ListParagraph"/>
        <w:numPr>
          <w:ilvl w:val="1"/>
          <w:numId w:val="6"/>
        </w:numPr>
        <w:spacing w:after="0" w:line="240" w:lineRule="auto"/>
        <w:ind w:left="1080"/>
      </w:pPr>
      <w:r w:rsidRPr="00AC506B">
        <w:t xml:space="preserve">A Layoff or Reduction in Time </w:t>
      </w:r>
      <w:proofErr w:type="gramStart"/>
      <w:r w:rsidRPr="00AC506B">
        <w:t>may be based</w:t>
      </w:r>
      <w:proofErr w:type="gramEnd"/>
      <w:r w:rsidRPr="00AC506B">
        <w:t xml:space="preserve"> </w:t>
      </w:r>
      <w:r w:rsidR="00F75499" w:rsidRPr="00AC506B">
        <w:t>on</w:t>
      </w:r>
      <w:r w:rsidR="00F75499">
        <w:t xml:space="preserve"> </w:t>
      </w:r>
      <w:r w:rsidR="00091C15">
        <w:t xml:space="preserve">documented </w:t>
      </w:r>
      <w:r w:rsidR="00F75499">
        <w:t>l</w:t>
      </w:r>
      <w:r w:rsidRPr="00AC506B">
        <w:t>ack of appropriate funding</w:t>
      </w:r>
      <w:r w:rsidR="00F75499">
        <w:t>, l</w:t>
      </w:r>
      <w:r w:rsidRPr="00AC506B">
        <w:t>ack of work</w:t>
      </w:r>
      <w:r w:rsidR="00F75499">
        <w:t>, or change in p</w:t>
      </w:r>
      <w:r w:rsidRPr="00AC506B">
        <w:t>rogrammatic need</w:t>
      </w:r>
      <w:r w:rsidR="00F75499">
        <w:t>.</w:t>
      </w:r>
    </w:p>
    <w:p w:rsidR="00F75499" w:rsidRPr="00AC506B" w:rsidRDefault="00F75499" w:rsidP="009621C4">
      <w:pPr>
        <w:pStyle w:val="ListParagraph"/>
        <w:numPr>
          <w:ilvl w:val="1"/>
          <w:numId w:val="6"/>
        </w:numPr>
        <w:spacing w:after="0" w:line="240" w:lineRule="auto"/>
        <w:ind w:left="1080"/>
      </w:pPr>
      <w:r>
        <w:t>Exception: Special provision</w:t>
      </w:r>
      <w:r w:rsidR="00C7752B" w:rsidRPr="00C7752B">
        <w:t xml:space="preserve"> </w:t>
      </w:r>
      <w:r w:rsidR="00C7752B">
        <w:t>only</w:t>
      </w:r>
      <w:r>
        <w:t xml:space="preserve"> for Principal Investigators to reduce their own salary</w:t>
      </w:r>
      <w:r w:rsidR="00091C15">
        <w:t xml:space="preserve"> as an alternative to layoff or reduction in time as long as the PI retains exempt status</w:t>
      </w:r>
      <w:r>
        <w:t>.</w:t>
      </w:r>
    </w:p>
    <w:p w:rsidR="00AC506B" w:rsidRDefault="00AC506B" w:rsidP="009621C4">
      <w:pPr>
        <w:spacing w:after="0" w:line="240" w:lineRule="auto"/>
      </w:pPr>
    </w:p>
    <w:p w:rsidR="00091C15" w:rsidRDefault="00091C15" w:rsidP="009621C4">
      <w:pPr>
        <w:spacing w:after="0" w:line="240" w:lineRule="auto"/>
      </w:pPr>
    </w:p>
    <w:p w:rsidR="009621C4" w:rsidRDefault="00AC506B" w:rsidP="009621C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</w:rPr>
      </w:pPr>
      <w:r w:rsidRPr="00F75499">
        <w:rPr>
          <w:b/>
        </w:rPr>
        <w:lastRenderedPageBreak/>
        <w:t>Non-Reappointment</w:t>
      </w:r>
    </w:p>
    <w:p w:rsidR="00AC506B" w:rsidRPr="009621C4" w:rsidRDefault="009621C4" w:rsidP="009621C4">
      <w:pPr>
        <w:pStyle w:val="ListParagraph"/>
        <w:numPr>
          <w:ilvl w:val="1"/>
          <w:numId w:val="6"/>
        </w:numPr>
        <w:spacing w:after="0" w:line="240" w:lineRule="auto"/>
        <w:ind w:left="1080"/>
      </w:pPr>
      <w:r>
        <w:t>Written notice of non-reappointment may be required</w:t>
      </w:r>
      <w:r w:rsidR="00091C15">
        <w:t xml:space="preserve"> depending on appointment percent and years of service.</w:t>
      </w:r>
    </w:p>
    <w:p w:rsidR="009621C4" w:rsidRDefault="009621C4" w:rsidP="009621C4">
      <w:pPr>
        <w:spacing w:after="0" w:line="240" w:lineRule="auto"/>
      </w:pPr>
    </w:p>
    <w:p w:rsidR="00AC506B" w:rsidRPr="00F75499" w:rsidRDefault="00AC506B" w:rsidP="009621C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</w:rPr>
      </w:pPr>
      <w:r w:rsidRPr="00F75499">
        <w:rPr>
          <w:b/>
        </w:rPr>
        <w:t>Without Salary (WOS) Appointment</w:t>
      </w:r>
    </w:p>
    <w:p w:rsidR="00AC506B" w:rsidRDefault="00091C15" w:rsidP="009621C4">
      <w:pPr>
        <w:pStyle w:val="ListParagraph"/>
        <w:numPr>
          <w:ilvl w:val="1"/>
          <w:numId w:val="6"/>
        </w:numPr>
        <w:spacing w:after="0" w:line="240" w:lineRule="auto"/>
        <w:ind w:left="1080"/>
      </w:pPr>
      <w:r>
        <w:t xml:space="preserve">Generally, </w:t>
      </w:r>
      <w:r w:rsidR="00AC506B">
        <w:t xml:space="preserve">Academic Researchers </w:t>
      </w:r>
      <w:r w:rsidR="004E6A16">
        <w:t xml:space="preserve">who </w:t>
      </w:r>
      <w:proofErr w:type="gramStart"/>
      <w:r w:rsidR="004E6A16">
        <w:t>have been laid</w:t>
      </w:r>
      <w:proofErr w:type="gramEnd"/>
      <w:r w:rsidR="004E6A16">
        <w:t xml:space="preserve"> off or have not been reappointed due to lapse of funding, even if future funding is expected, </w:t>
      </w:r>
      <w:r w:rsidR="00AC506B">
        <w:t xml:space="preserve">are not eligible for a WOS appointment. </w:t>
      </w:r>
    </w:p>
    <w:p w:rsidR="00AC506B" w:rsidRDefault="00F75499" w:rsidP="009621C4">
      <w:pPr>
        <w:pStyle w:val="ListParagraph"/>
        <w:numPr>
          <w:ilvl w:val="1"/>
          <w:numId w:val="6"/>
        </w:numPr>
        <w:spacing w:after="0" w:line="240" w:lineRule="auto"/>
        <w:ind w:left="1080"/>
      </w:pPr>
      <w:r>
        <w:t>Exception</w:t>
      </w:r>
      <w:r w:rsidR="004E6A16">
        <w:t xml:space="preserve"> exists</w:t>
      </w:r>
      <w:r>
        <w:t xml:space="preserve"> for </w:t>
      </w:r>
      <w:r w:rsidR="00AC506B">
        <w:t>Principal Investigators</w:t>
      </w:r>
      <w:r>
        <w:t xml:space="preserve"> only</w:t>
      </w:r>
      <w:r w:rsidR="00AC506B">
        <w:t xml:space="preserve"> who may or may not be eligible for a WOS appointment.</w:t>
      </w:r>
    </w:p>
    <w:p w:rsidR="00AC506B" w:rsidRDefault="00AC506B" w:rsidP="009621C4">
      <w:pPr>
        <w:spacing w:after="0" w:line="240" w:lineRule="auto"/>
      </w:pPr>
    </w:p>
    <w:p w:rsidR="00C7752B" w:rsidRPr="00F75499" w:rsidRDefault="00C7752B" w:rsidP="00C7752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</w:rPr>
      </w:pPr>
      <w:r>
        <w:rPr>
          <w:b/>
        </w:rPr>
        <w:t>Work Authorization Paperwork on Reappointment</w:t>
      </w:r>
    </w:p>
    <w:p w:rsidR="00A579F9" w:rsidRPr="00C7752B" w:rsidRDefault="004E6A16" w:rsidP="00C7752B">
      <w:pPr>
        <w:pStyle w:val="ListParagraph"/>
        <w:numPr>
          <w:ilvl w:val="1"/>
          <w:numId w:val="6"/>
        </w:numPr>
        <w:spacing w:after="0" w:line="240" w:lineRule="auto"/>
        <w:ind w:left="1080"/>
      </w:pPr>
      <w:r w:rsidRPr="00C7752B">
        <w:t>Only upon reappointment, the University may be liable for failing to process work authorization (visa) paperwork promptly</w:t>
      </w:r>
      <w:r w:rsidR="00C7752B">
        <w:t>.</w:t>
      </w:r>
    </w:p>
    <w:p w:rsidR="00C7752B" w:rsidRDefault="00C7752B" w:rsidP="00C7752B">
      <w:pPr>
        <w:pStyle w:val="ListParagraph"/>
        <w:numPr>
          <w:ilvl w:val="1"/>
          <w:numId w:val="6"/>
        </w:numPr>
        <w:spacing w:after="0" w:line="240" w:lineRule="auto"/>
        <w:ind w:left="1080"/>
      </w:pPr>
      <w:r w:rsidRPr="00C7752B">
        <w:t xml:space="preserve">Any remedy due to the Academic Researcher </w:t>
      </w:r>
      <w:proofErr w:type="gramStart"/>
      <w:r w:rsidRPr="00C7752B">
        <w:t>would be calculated</w:t>
      </w:r>
      <w:proofErr w:type="gramEnd"/>
      <w:r w:rsidRPr="00C7752B">
        <w:t xml:space="preserve"> in reference only to pay lost during the time the University was solely responsible for the delay</w:t>
      </w:r>
      <w:r>
        <w:t>.</w:t>
      </w:r>
    </w:p>
    <w:p w:rsidR="00C7752B" w:rsidRDefault="00C7752B" w:rsidP="009621C4">
      <w:pPr>
        <w:spacing w:after="0" w:line="240" w:lineRule="auto"/>
      </w:pPr>
    </w:p>
    <w:p w:rsidR="009621C4" w:rsidRPr="009621C4" w:rsidRDefault="009621C4" w:rsidP="009621C4">
      <w:pPr>
        <w:spacing w:after="0" w:line="240" w:lineRule="auto"/>
        <w:jc w:val="center"/>
        <w:rPr>
          <w:b/>
        </w:rPr>
      </w:pPr>
      <w:r w:rsidRPr="009621C4">
        <w:rPr>
          <w:b/>
        </w:rPr>
        <w:t xml:space="preserve">Academic Affairs Resources/Information page for the RA Unit: </w:t>
      </w:r>
      <w:hyperlink r:id="rId8" w:history="1">
        <w:r w:rsidRPr="009621C4">
          <w:rPr>
            <w:rStyle w:val="Hyperlink"/>
            <w:b/>
          </w:rPr>
          <w:t>https://academicaffairs.ucdavis.edu/academic-researchers-unit-ra-unit</w:t>
        </w:r>
      </w:hyperlink>
    </w:p>
    <w:p w:rsidR="00C7752B" w:rsidRDefault="00C7752B">
      <w:r>
        <w:br w:type="page"/>
      </w:r>
    </w:p>
    <w:p w:rsidR="009621C4" w:rsidRPr="00C7752B" w:rsidRDefault="00C7752B" w:rsidP="00C7752B">
      <w:pPr>
        <w:spacing w:after="0" w:line="240" w:lineRule="auto"/>
        <w:jc w:val="center"/>
        <w:rPr>
          <w:b/>
        </w:rPr>
      </w:pPr>
      <w:r w:rsidRPr="00C7752B">
        <w:rPr>
          <w:b/>
        </w:rPr>
        <w:lastRenderedPageBreak/>
        <w:t>Salary</w:t>
      </w:r>
    </w:p>
    <w:p w:rsidR="00C7752B" w:rsidRDefault="00C7752B" w:rsidP="009621C4">
      <w:pPr>
        <w:spacing w:after="0" w:line="240" w:lineRule="auto"/>
      </w:pPr>
    </w:p>
    <w:p w:rsidR="00C7752B" w:rsidRDefault="00C7752B" w:rsidP="00C7752B">
      <w:pPr>
        <w:pStyle w:val="ListParagraph"/>
        <w:numPr>
          <w:ilvl w:val="0"/>
          <w:numId w:val="11"/>
        </w:numPr>
        <w:spacing w:after="0" w:line="240" w:lineRule="auto"/>
      </w:pPr>
      <w:r>
        <w:t>Range Adjustment to Base Salary</w:t>
      </w:r>
    </w:p>
    <w:p w:rsidR="00A579F9" w:rsidRPr="00C7752B" w:rsidRDefault="004E6A16" w:rsidP="00C7752B">
      <w:pPr>
        <w:pStyle w:val="ListParagraph"/>
        <w:numPr>
          <w:ilvl w:val="1"/>
          <w:numId w:val="11"/>
        </w:numPr>
        <w:spacing w:after="0" w:line="240" w:lineRule="auto"/>
      </w:pPr>
      <w:r w:rsidRPr="00C7752B">
        <w:t>January 1, 2020</w:t>
      </w:r>
    </w:p>
    <w:p w:rsidR="00A579F9" w:rsidRPr="00C7752B" w:rsidRDefault="004E6A16" w:rsidP="00C7752B">
      <w:pPr>
        <w:pStyle w:val="ListParagraph"/>
        <w:numPr>
          <w:ilvl w:val="2"/>
          <w:numId w:val="11"/>
        </w:numPr>
        <w:spacing w:after="0" w:line="240" w:lineRule="auto"/>
      </w:pPr>
      <w:r w:rsidRPr="00C7752B">
        <w:t>4% Range Adjustment – Specialists and Project Scientists</w:t>
      </w:r>
    </w:p>
    <w:p w:rsidR="00A579F9" w:rsidRPr="00C7752B" w:rsidRDefault="004E6A16" w:rsidP="00C7752B">
      <w:pPr>
        <w:pStyle w:val="ListParagraph"/>
        <w:numPr>
          <w:ilvl w:val="2"/>
          <w:numId w:val="11"/>
        </w:numPr>
        <w:spacing w:after="0" w:line="240" w:lineRule="auto"/>
      </w:pPr>
      <w:r w:rsidRPr="00C7752B">
        <w:t>4.5% Range Adjustment – Professional Researchers</w:t>
      </w:r>
    </w:p>
    <w:p w:rsidR="00A579F9" w:rsidRPr="00C7752B" w:rsidRDefault="004E6A16" w:rsidP="00C7752B">
      <w:pPr>
        <w:pStyle w:val="ListParagraph"/>
        <w:numPr>
          <w:ilvl w:val="1"/>
          <w:numId w:val="11"/>
        </w:numPr>
        <w:spacing w:after="0" w:line="240" w:lineRule="auto"/>
      </w:pPr>
      <w:r w:rsidRPr="00C7752B">
        <w:t>July 1, 2020</w:t>
      </w:r>
    </w:p>
    <w:p w:rsidR="00A579F9" w:rsidRPr="00C7752B" w:rsidRDefault="004E6A16" w:rsidP="00C7752B">
      <w:pPr>
        <w:pStyle w:val="ListParagraph"/>
        <w:numPr>
          <w:ilvl w:val="2"/>
          <w:numId w:val="11"/>
        </w:numPr>
        <w:spacing w:after="0" w:line="240" w:lineRule="auto"/>
      </w:pPr>
      <w:r w:rsidRPr="00C7752B">
        <w:t>3% Range Adjustment</w:t>
      </w:r>
    </w:p>
    <w:p w:rsidR="00A579F9" w:rsidRPr="00C7752B" w:rsidRDefault="004E6A16" w:rsidP="00C7752B">
      <w:pPr>
        <w:pStyle w:val="ListParagraph"/>
        <w:numPr>
          <w:ilvl w:val="1"/>
          <w:numId w:val="11"/>
        </w:numPr>
        <w:spacing w:after="0" w:line="240" w:lineRule="auto"/>
      </w:pPr>
      <w:r w:rsidRPr="00C7752B">
        <w:t>July 1, 2021</w:t>
      </w:r>
    </w:p>
    <w:p w:rsidR="00A579F9" w:rsidRPr="00C7752B" w:rsidRDefault="004E6A16" w:rsidP="00C7752B">
      <w:pPr>
        <w:pStyle w:val="ListParagraph"/>
        <w:numPr>
          <w:ilvl w:val="2"/>
          <w:numId w:val="11"/>
        </w:numPr>
        <w:spacing w:after="0" w:line="240" w:lineRule="auto"/>
      </w:pPr>
      <w:r w:rsidRPr="00C7752B">
        <w:t>3% Range Adjustment</w:t>
      </w:r>
    </w:p>
    <w:p w:rsidR="00A579F9" w:rsidRPr="00C7752B" w:rsidRDefault="004E6A16" w:rsidP="00C7752B">
      <w:pPr>
        <w:pStyle w:val="ListParagraph"/>
        <w:numPr>
          <w:ilvl w:val="1"/>
          <w:numId w:val="11"/>
        </w:numPr>
        <w:spacing w:after="0" w:line="240" w:lineRule="auto"/>
      </w:pPr>
      <w:r w:rsidRPr="00C7752B">
        <w:t>July 1, 2022</w:t>
      </w:r>
    </w:p>
    <w:p w:rsidR="00A579F9" w:rsidRPr="00C7752B" w:rsidRDefault="004E6A16" w:rsidP="00C7752B">
      <w:pPr>
        <w:pStyle w:val="ListParagraph"/>
        <w:numPr>
          <w:ilvl w:val="2"/>
          <w:numId w:val="11"/>
        </w:numPr>
        <w:spacing w:after="0" w:line="240" w:lineRule="auto"/>
      </w:pPr>
      <w:r w:rsidRPr="00C7752B">
        <w:t>3% Range Adjustment</w:t>
      </w:r>
    </w:p>
    <w:p w:rsidR="00A579F9" w:rsidRPr="00C7752B" w:rsidRDefault="004E6A16" w:rsidP="00C7752B">
      <w:pPr>
        <w:pStyle w:val="ListParagraph"/>
        <w:numPr>
          <w:ilvl w:val="1"/>
          <w:numId w:val="11"/>
        </w:numPr>
        <w:spacing w:after="0" w:line="240" w:lineRule="auto"/>
      </w:pPr>
      <w:r w:rsidRPr="00C7752B">
        <w:t>NOTE: Unlike all other academic appointees, the represented Academic Researchers did not receive a range adjustment in 2019.</w:t>
      </w:r>
    </w:p>
    <w:p w:rsidR="00C7752B" w:rsidRDefault="00C7752B" w:rsidP="009621C4">
      <w:pPr>
        <w:spacing w:after="0" w:line="240" w:lineRule="auto"/>
      </w:pPr>
    </w:p>
    <w:p w:rsidR="00C7752B" w:rsidRDefault="00C7752B" w:rsidP="00C7752B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Equity and Smoothing </w:t>
      </w:r>
    </w:p>
    <w:p w:rsidR="00A579F9" w:rsidRPr="00C7752B" w:rsidRDefault="004E6A16" w:rsidP="00C7752B">
      <w:pPr>
        <w:pStyle w:val="ListParagraph"/>
        <w:numPr>
          <w:ilvl w:val="1"/>
          <w:numId w:val="11"/>
        </w:numPr>
        <w:spacing w:after="0" w:line="240" w:lineRule="auto"/>
      </w:pPr>
      <w:r w:rsidRPr="00C7752B">
        <w:t>For some of the ranks and steps in the Specialist and Project Scientist series, there will be additional increases over the life of the contract to address:</w:t>
      </w:r>
    </w:p>
    <w:p w:rsidR="00A579F9" w:rsidRPr="00C7752B" w:rsidRDefault="004E6A16" w:rsidP="00C7752B">
      <w:pPr>
        <w:pStyle w:val="ListParagraph"/>
        <w:numPr>
          <w:ilvl w:val="2"/>
          <w:numId w:val="11"/>
        </w:numPr>
        <w:spacing w:after="0" w:line="240" w:lineRule="auto"/>
      </w:pPr>
      <w:r w:rsidRPr="00C7752B">
        <w:t>Compression with Postdoc Salary Scale</w:t>
      </w:r>
    </w:p>
    <w:p w:rsidR="00A579F9" w:rsidRPr="00C7752B" w:rsidRDefault="004E6A16" w:rsidP="00C7752B">
      <w:pPr>
        <w:pStyle w:val="ListParagraph"/>
        <w:numPr>
          <w:ilvl w:val="2"/>
          <w:numId w:val="11"/>
        </w:numPr>
        <w:spacing w:after="0" w:line="240" w:lineRule="auto"/>
      </w:pPr>
      <w:r w:rsidRPr="00C7752B">
        <w:t>Compression with Staff Research Associate Scale</w:t>
      </w:r>
    </w:p>
    <w:p w:rsidR="00A579F9" w:rsidRPr="00C7752B" w:rsidRDefault="004E6A16" w:rsidP="00C7752B">
      <w:pPr>
        <w:pStyle w:val="ListParagraph"/>
        <w:numPr>
          <w:ilvl w:val="2"/>
          <w:numId w:val="11"/>
        </w:numPr>
        <w:spacing w:after="0" w:line="240" w:lineRule="auto"/>
      </w:pPr>
      <w:r w:rsidRPr="00C7752B">
        <w:t>Unequal increments between steps</w:t>
      </w:r>
    </w:p>
    <w:p w:rsidR="00A579F9" w:rsidRPr="00C7752B" w:rsidRDefault="004E6A16" w:rsidP="00C7752B">
      <w:pPr>
        <w:pStyle w:val="ListParagraph"/>
        <w:numPr>
          <w:ilvl w:val="1"/>
          <w:numId w:val="11"/>
        </w:numPr>
        <w:spacing w:after="0" w:line="240" w:lineRule="auto"/>
      </w:pPr>
      <w:r w:rsidRPr="00C7752B">
        <w:t>Equity and Smoothing does not impact the B/E/E scales</w:t>
      </w:r>
    </w:p>
    <w:p w:rsidR="00C7752B" w:rsidRDefault="00C7752B" w:rsidP="009621C4">
      <w:pPr>
        <w:spacing w:after="0" w:line="240" w:lineRule="auto"/>
      </w:pPr>
    </w:p>
    <w:p w:rsidR="00C7752B" w:rsidRDefault="00C7752B" w:rsidP="00C7752B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Off-scale components </w:t>
      </w:r>
    </w:p>
    <w:p w:rsidR="00A579F9" w:rsidRPr="00C7752B" w:rsidRDefault="004E6A16" w:rsidP="00C7752B">
      <w:pPr>
        <w:pStyle w:val="ListParagraph"/>
        <w:numPr>
          <w:ilvl w:val="1"/>
          <w:numId w:val="11"/>
        </w:numPr>
        <w:spacing w:after="0" w:line="240" w:lineRule="auto"/>
      </w:pPr>
      <w:r w:rsidRPr="00C7752B">
        <w:t>Contract permits off-scale components to salary</w:t>
      </w:r>
    </w:p>
    <w:p w:rsidR="00A579F9" w:rsidRPr="00C7752B" w:rsidRDefault="004E6A16" w:rsidP="00C7752B">
      <w:pPr>
        <w:pStyle w:val="ListParagraph"/>
        <w:numPr>
          <w:ilvl w:val="1"/>
          <w:numId w:val="11"/>
        </w:numPr>
        <w:spacing w:after="0" w:line="240" w:lineRule="auto"/>
      </w:pPr>
      <w:r w:rsidRPr="00C7752B">
        <w:t>Increases to the off-scale components are at the location’s discretion</w:t>
      </w:r>
    </w:p>
    <w:p w:rsidR="00A579F9" w:rsidRPr="00C7752B" w:rsidRDefault="004E6A16" w:rsidP="00C7752B">
      <w:pPr>
        <w:pStyle w:val="ListParagraph"/>
        <w:numPr>
          <w:ilvl w:val="1"/>
          <w:numId w:val="11"/>
        </w:numPr>
        <w:spacing w:after="0" w:line="240" w:lineRule="auto"/>
      </w:pPr>
      <w:r w:rsidRPr="00C7752B">
        <w:t>Off-scale components are not range adjusted.</w:t>
      </w:r>
    </w:p>
    <w:p w:rsidR="00C7752B" w:rsidRDefault="00C7752B" w:rsidP="00C7752B">
      <w:pPr>
        <w:pStyle w:val="ListParagraph"/>
        <w:spacing w:after="0" w:line="240" w:lineRule="auto"/>
      </w:pPr>
    </w:p>
    <w:p w:rsidR="00A579F9" w:rsidRPr="00C7752B" w:rsidRDefault="004E6A16" w:rsidP="00C7752B">
      <w:pPr>
        <w:pStyle w:val="ListParagraph"/>
        <w:numPr>
          <w:ilvl w:val="0"/>
          <w:numId w:val="11"/>
        </w:numPr>
        <w:spacing w:after="0" w:line="240" w:lineRule="auto"/>
      </w:pPr>
      <w:r w:rsidRPr="00C7752B">
        <w:t>Merit Increases</w:t>
      </w:r>
    </w:p>
    <w:p w:rsidR="00A579F9" w:rsidRPr="00C7752B" w:rsidRDefault="004E6A16" w:rsidP="00C7752B">
      <w:pPr>
        <w:pStyle w:val="ListParagraph"/>
        <w:numPr>
          <w:ilvl w:val="1"/>
          <w:numId w:val="11"/>
        </w:numPr>
        <w:spacing w:after="0" w:line="240" w:lineRule="auto"/>
      </w:pPr>
      <w:r w:rsidRPr="00C7752B">
        <w:t>In addition to range adjustments, salaries are subject to merit increase</w:t>
      </w:r>
      <w:r w:rsidR="00C7752B">
        <w:t xml:space="preserve">s under the Step Plus system.  </w:t>
      </w:r>
    </w:p>
    <w:p w:rsidR="00C7752B" w:rsidRDefault="00C7752B" w:rsidP="009621C4">
      <w:pPr>
        <w:spacing w:after="0" w:line="240" w:lineRule="auto"/>
      </w:pPr>
    </w:p>
    <w:p w:rsidR="00892B17" w:rsidRDefault="00892B17" w:rsidP="009621C4">
      <w:pPr>
        <w:spacing w:after="0" w:line="240" w:lineRule="auto"/>
      </w:pPr>
    </w:p>
    <w:p w:rsidR="00C7752B" w:rsidRDefault="00C7752B" w:rsidP="009621C4">
      <w:pPr>
        <w:spacing w:after="0" w:line="240" w:lineRule="auto"/>
      </w:pPr>
      <w:r>
        <w:t xml:space="preserve">Step Plus Salary Scales: </w:t>
      </w:r>
      <w:hyperlink r:id="rId9" w:history="1">
        <w:r w:rsidRPr="000D5EBA">
          <w:rPr>
            <w:rStyle w:val="Hyperlink"/>
          </w:rPr>
          <w:t>https://academicaffairs.ucdavis.edu/step-plus-salary-tables</w:t>
        </w:r>
      </w:hyperlink>
      <w:r>
        <w:t xml:space="preserve"> </w:t>
      </w:r>
    </w:p>
    <w:p w:rsidR="00C7752B" w:rsidRDefault="00C7752B" w:rsidP="009621C4">
      <w:pPr>
        <w:spacing w:after="0" w:line="240" w:lineRule="auto"/>
      </w:pPr>
      <w:r>
        <w:t xml:space="preserve">System-wide Salary Scales: </w:t>
      </w:r>
      <w:hyperlink r:id="rId10" w:history="1">
        <w:r w:rsidRPr="000D5EBA">
          <w:rPr>
            <w:rStyle w:val="Hyperlink"/>
          </w:rPr>
          <w:t>https://www.ucop.edu/academic-personnel-programs/compensation/2019-20-academic-salary-scales.html</w:t>
        </w:r>
      </w:hyperlink>
      <w:r>
        <w:t xml:space="preserve"> </w:t>
      </w:r>
    </w:p>
    <w:p w:rsidR="0056051F" w:rsidRDefault="0056051F" w:rsidP="009621C4">
      <w:pPr>
        <w:spacing w:after="0" w:line="240" w:lineRule="auto"/>
      </w:pPr>
    </w:p>
    <w:p w:rsidR="0056051F" w:rsidRDefault="0056051F" w:rsidP="0056051F">
      <w:pPr>
        <w:spacing w:after="0" w:line="240" w:lineRule="auto"/>
        <w:ind w:left="360"/>
      </w:pPr>
      <w:r>
        <w:t xml:space="preserve">Represented salary scales are as follows (N = non-exempt/hourly scales): </w:t>
      </w:r>
    </w:p>
    <w:p w:rsidR="0056051F" w:rsidRPr="0056051F" w:rsidRDefault="0056051F" w:rsidP="0056051F">
      <w:pPr>
        <w:pStyle w:val="ListParagraph"/>
        <w:numPr>
          <w:ilvl w:val="0"/>
          <w:numId w:val="14"/>
        </w:numPr>
        <w:spacing w:after="0" w:line="240" w:lineRule="auto"/>
      </w:pPr>
      <w:r w:rsidRPr="0056051F">
        <w:t xml:space="preserve">Specialist series (including Junior Specialists): </w:t>
      </w:r>
      <w:r w:rsidR="00C7752B" w:rsidRPr="0056051F">
        <w:t>Tables 24-B</w:t>
      </w:r>
      <w:r w:rsidR="00FB1403">
        <w:t>*</w:t>
      </w:r>
      <w:r w:rsidR="00C7752B" w:rsidRPr="0056051F">
        <w:t xml:space="preserve"> and 24-B(N) </w:t>
      </w:r>
    </w:p>
    <w:p w:rsidR="0056051F" w:rsidRDefault="0056051F" w:rsidP="0056051F">
      <w:pPr>
        <w:pStyle w:val="ListParagraph"/>
        <w:numPr>
          <w:ilvl w:val="0"/>
          <w:numId w:val="14"/>
        </w:numPr>
        <w:spacing w:after="0" w:line="240" w:lineRule="auto"/>
      </w:pPr>
      <w:r w:rsidRPr="0056051F">
        <w:t xml:space="preserve">Project Scientist series: </w:t>
      </w:r>
      <w:r w:rsidR="00C7752B" w:rsidRPr="0056051F">
        <w:t>Tables 37-B</w:t>
      </w:r>
      <w:r w:rsidR="00FB1403">
        <w:t>*</w:t>
      </w:r>
      <w:r w:rsidR="00C7752B" w:rsidRPr="0056051F">
        <w:t xml:space="preserve">, 37-B(N), 38-B, and 38-B(N) </w:t>
      </w:r>
    </w:p>
    <w:p w:rsidR="00C7752B" w:rsidRDefault="0056051F" w:rsidP="0056051F">
      <w:pPr>
        <w:pStyle w:val="ListParagraph"/>
        <w:numPr>
          <w:ilvl w:val="0"/>
          <w:numId w:val="14"/>
        </w:numPr>
        <w:spacing w:after="0" w:line="240" w:lineRule="auto"/>
      </w:pPr>
      <w:r w:rsidRPr="0056051F">
        <w:t xml:space="preserve">Professional Researcher series: </w:t>
      </w:r>
      <w:r w:rsidR="00C7752B" w:rsidRPr="0056051F">
        <w:t xml:space="preserve">Tables 13-B, 13-B(N), 14-B, and 14-B(N) </w:t>
      </w:r>
    </w:p>
    <w:p w:rsidR="00C7752B" w:rsidRPr="00AC506B" w:rsidRDefault="00FB1403" w:rsidP="000F7026">
      <w:pPr>
        <w:spacing w:after="0" w:line="240" w:lineRule="auto"/>
        <w:ind w:left="1080"/>
      </w:pPr>
      <w:r>
        <w:t>*Sa</w:t>
      </w:r>
      <w:r w:rsidRPr="000F7026">
        <w:t>lary scale models for the equity and smoothing of salary scale tables 24B and 37B</w:t>
      </w:r>
      <w:r>
        <w:t xml:space="preserve"> are available on our website (</w:t>
      </w:r>
      <w:hyperlink r:id="rId11" w:history="1">
        <w:r w:rsidRPr="003746CD">
          <w:rPr>
            <w:rStyle w:val="Hyperlink"/>
          </w:rPr>
          <w:t>https://aadocs.ucdavis.edu/your-resources/salary-scale-models-specialist-projectscientist.pdf</w:t>
        </w:r>
      </w:hyperlink>
      <w:r>
        <w:t xml:space="preserve">) – please note that these are not the official salary scales but they </w:t>
      </w:r>
      <w:proofErr w:type="gramStart"/>
      <w:r>
        <w:t>may be used</w:t>
      </w:r>
      <w:proofErr w:type="gramEnd"/>
      <w:r>
        <w:t xml:space="preserve"> for budget planning. As is practice, the Office of the President is responsible for issuing the official salary scales effective 7/1/2020, 7/1/2021, and 7/1/2022. </w:t>
      </w:r>
    </w:p>
    <w:sectPr w:rsidR="00C7752B" w:rsidRPr="00AC506B" w:rsidSect="00F754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C4" w:rsidRDefault="009621C4" w:rsidP="009621C4">
      <w:pPr>
        <w:spacing w:after="0" w:line="240" w:lineRule="auto"/>
      </w:pPr>
      <w:r>
        <w:separator/>
      </w:r>
    </w:p>
  </w:endnote>
  <w:endnote w:type="continuationSeparator" w:id="0">
    <w:p w:rsidR="009621C4" w:rsidRDefault="009621C4" w:rsidP="0096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C4" w:rsidRDefault="009621C4" w:rsidP="009621C4">
      <w:pPr>
        <w:spacing w:after="0" w:line="240" w:lineRule="auto"/>
      </w:pPr>
      <w:r>
        <w:separator/>
      </w:r>
    </w:p>
  </w:footnote>
  <w:footnote w:type="continuationSeparator" w:id="0">
    <w:p w:rsidR="009621C4" w:rsidRDefault="009621C4" w:rsidP="0096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1C4" w:rsidRDefault="009621C4" w:rsidP="009621C4">
    <w:pPr>
      <w:spacing w:after="0" w:line="240" w:lineRule="auto"/>
      <w:jc w:val="center"/>
      <w:rPr>
        <w:b/>
        <w:bCs/>
      </w:rPr>
    </w:pPr>
    <w:r w:rsidRPr="00163B04">
      <w:rPr>
        <w:b/>
        <w:bCs/>
      </w:rPr>
      <w:t xml:space="preserve">Academic Researcher Unit </w:t>
    </w:r>
    <w:r>
      <w:rPr>
        <w:b/>
        <w:bCs/>
      </w:rPr>
      <w:t xml:space="preserve">(RA Unit) </w:t>
    </w:r>
    <w:r w:rsidRPr="00163B04">
      <w:rPr>
        <w:b/>
        <w:bCs/>
      </w:rPr>
      <w:t xml:space="preserve">New Contract </w:t>
    </w:r>
    <w:r w:rsidR="000A1FCF">
      <w:rPr>
        <w:b/>
        <w:bCs/>
      </w:rPr>
      <w:t>Overview</w:t>
    </w:r>
  </w:p>
  <w:p w:rsidR="009621C4" w:rsidRDefault="009621C4" w:rsidP="009621C4">
    <w:pPr>
      <w:spacing w:after="0" w:line="240" w:lineRule="auto"/>
      <w:jc w:val="center"/>
    </w:pPr>
    <w:r w:rsidRPr="00163B04">
      <w:rPr>
        <w:b/>
        <w:bCs/>
      </w:rPr>
      <w:t>UC Davis Office of Academic Affairs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58D"/>
    <w:multiLevelType w:val="hybridMultilevel"/>
    <w:tmpl w:val="0D70D4B4"/>
    <w:lvl w:ilvl="0" w:tplc="998E42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CE6DF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BC25A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5ACF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E218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BBABE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6A08C6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3E4A2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400D4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42500B5"/>
    <w:multiLevelType w:val="hybridMultilevel"/>
    <w:tmpl w:val="ACDADAB4"/>
    <w:lvl w:ilvl="0" w:tplc="A6D4A2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15C3D00">
      <w:start w:val="9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C614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D07B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6EDD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4229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5F64FF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698B8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4F2943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A975B77"/>
    <w:multiLevelType w:val="hybridMultilevel"/>
    <w:tmpl w:val="35F447AC"/>
    <w:lvl w:ilvl="0" w:tplc="D2606422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73902"/>
    <w:multiLevelType w:val="hybridMultilevel"/>
    <w:tmpl w:val="677ED2F6"/>
    <w:lvl w:ilvl="0" w:tplc="D26064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B7A58"/>
    <w:multiLevelType w:val="hybridMultilevel"/>
    <w:tmpl w:val="A7561D54"/>
    <w:lvl w:ilvl="0" w:tplc="A71AFBB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CC24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82D0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A664A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6CDF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8DA83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54C57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3EE2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F92EF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2D139CB"/>
    <w:multiLevelType w:val="hybridMultilevel"/>
    <w:tmpl w:val="C908C320"/>
    <w:lvl w:ilvl="0" w:tplc="32B492A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9F884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92A2B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54492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B94C3F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CA82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8BE8A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1A621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B2AE7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504091B"/>
    <w:multiLevelType w:val="hybridMultilevel"/>
    <w:tmpl w:val="0A780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6A80"/>
    <w:multiLevelType w:val="hybridMultilevel"/>
    <w:tmpl w:val="1E96BA8C"/>
    <w:lvl w:ilvl="0" w:tplc="2A02F5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8AB1A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44CC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8F4FA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F1822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ABAAE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7A402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3D6BA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B382C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42002B2E"/>
    <w:multiLevelType w:val="hybridMultilevel"/>
    <w:tmpl w:val="6CC2D41C"/>
    <w:lvl w:ilvl="0" w:tplc="D26064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6265F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49AD9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310B9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B4A1AB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B04B5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1422E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9EA4B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F607F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4E0434C0"/>
    <w:multiLevelType w:val="hybridMultilevel"/>
    <w:tmpl w:val="E3FE0A4C"/>
    <w:lvl w:ilvl="0" w:tplc="87C873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FCA5D48">
      <w:start w:val="9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D8971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B2838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BBCD0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FCE76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D8A7B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940448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9C20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5628150B"/>
    <w:multiLevelType w:val="hybridMultilevel"/>
    <w:tmpl w:val="0C32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70F6"/>
    <w:multiLevelType w:val="hybridMultilevel"/>
    <w:tmpl w:val="C98EE9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5B3868"/>
    <w:multiLevelType w:val="hybridMultilevel"/>
    <w:tmpl w:val="76144922"/>
    <w:lvl w:ilvl="0" w:tplc="080CFE0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3FE681C">
      <w:start w:val="9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2D0379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7ED3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F72773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2D6C9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3128C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2A814C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0A9B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7A364AEB"/>
    <w:multiLevelType w:val="hybridMultilevel"/>
    <w:tmpl w:val="C276B8E0"/>
    <w:lvl w:ilvl="0" w:tplc="21BED6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E4A34D6">
      <w:start w:val="9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E6836D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DC446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8A693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F0FB0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2C271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6A75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D4E8A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4"/>
    <w:rsid w:val="00091C15"/>
    <w:rsid w:val="000A1FCF"/>
    <w:rsid w:val="000F7026"/>
    <w:rsid w:val="00157131"/>
    <w:rsid w:val="00163B04"/>
    <w:rsid w:val="0029046B"/>
    <w:rsid w:val="00414E48"/>
    <w:rsid w:val="004E6A16"/>
    <w:rsid w:val="0056051F"/>
    <w:rsid w:val="006942A9"/>
    <w:rsid w:val="00892B17"/>
    <w:rsid w:val="009621C4"/>
    <w:rsid w:val="00A579F9"/>
    <w:rsid w:val="00AC506B"/>
    <w:rsid w:val="00C7752B"/>
    <w:rsid w:val="00F75499"/>
    <w:rsid w:val="00F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CF7C6-4BC3-4DCB-A8ED-F2BADD67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1C4"/>
  </w:style>
  <w:style w:type="paragraph" w:styleId="Footer">
    <w:name w:val="footer"/>
    <w:basedOn w:val="Normal"/>
    <w:link w:val="FooterChar"/>
    <w:uiPriority w:val="99"/>
    <w:unhideWhenUsed/>
    <w:rsid w:val="0096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C4"/>
  </w:style>
  <w:style w:type="character" w:styleId="Hyperlink">
    <w:name w:val="Hyperlink"/>
    <w:basedOn w:val="DefaultParagraphFont"/>
    <w:uiPriority w:val="99"/>
    <w:unhideWhenUsed/>
    <w:rsid w:val="009621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6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A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A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2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2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8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4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2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0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4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3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46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0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3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84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4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6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7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1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3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5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2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6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7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0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8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8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3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4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84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2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2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45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3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2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99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affairs.ucdavis.edu/academic-researchers-unit-ra-un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adocs.ucdavis.edu/your-resources/salary-scale-models-specialist-projectscientis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cop.edu/academic-personnel-programs/compensation/2019-20-academic-salary-sca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affairs.ucdavis.edu/step-plus-salary-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Anders</dc:creator>
  <cp:keywords/>
  <dc:description/>
  <cp:lastModifiedBy>Kelly Anders</cp:lastModifiedBy>
  <cp:revision>5</cp:revision>
  <dcterms:created xsi:type="dcterms:W3CDTF">2020-02-06T22:51:00Z</dcterms:created>
  <dcterms:modified xsi:type="dcterms:W3CDTF">2020-02-19T19:16:00Z</dcterms:modified>
</cp:coreProperties>
</file>